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5C4603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ОУД. 05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A26287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51.02.02Социально-культурная деятельность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532C3C">
            <w:pPr>
              <w:jc w:val="center"/>
            </w:pPr>
            <w:r w:rsidRPr="00D4204C">
              <w:rPr>
                <w:b/>
              </w:rPr>
              <w:t>201</w:t>
            </w:r>
            <w:r w:rsidR="00EC4DD5">
              <w:rPr>
                <w:b/>
              </w:rPr>
              <w:t>9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C53E3D" w:rsidRPr="00C53E3D" w:rsidRDefault="006D18D4" w:rsidP="00C53E3D">
      <w:pPr>
        <w:jc w:val="center"/>
      </w:pPr>
      <w:r w:rsidRPr="006D18D4">
        <w:rPr>
          <w:b/>
        </w:rPr>
        <w:tab/>
      </w:r>
      <w:r w:rsidRPr="006D18D4">
        <w:rPr>
          <w:b/>
        </w:rPr>
        <w:tab/>
      </w:r>
      <w:r w:rsidR="00C53E3D" w:rsidRPr="00C53E3D">
        <w:rPr>
          <w:b/>
        </w:rPr>
        <w:t>51.02.02</w:t>
      </w:r>
      <w:r w:rsidR="00EC4DD5">
        <w:rPr>
          <w:b/>
        </w:rPr>
        <w:t xml:space="preserve">     </w:t>
      </w:r>
      <w:r w:rsidR="00C53E3D" w:rsidRPr="00C53E3D">
        <w:t xml:space="preserve"> </w:t>
      </w:r>
      <w:r w:rsidR="00C53E3D" w:rsidRPr="00EC4DD5">
        <w:rPr>
          <w:b/>
        </w:rPr>
        <w:t>Социально-культурная деятельность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6D18D4" w:rsidRPr="006D18D4" w:rsidRDefault="006D18D4" w:rsidP="006D18D4">
      <w:pPr>
        <w:pStyle w:val="2"/>
        <w:ind w:firstLine="567"/>
        <w:jc w:val="left"/>
        <w:rPr>
          <w:color w:val="auto"/>
          <w:sz w:val="24"/>
          <w:szCs w:val="24"/>
        </w:rPr>
      </w:pPr>
    </w:p>
    <w:p w:rsidR="006D18D4" w:rsidRPr="006D18D4" w:rsidRDefault="006D18D4" w:rsidP="006D18D4">
      <w:pPr>
        <w:rPr>
          <w:b/>
          <w:bCs/>
        </w:rPr>
      </w:pPr>
      <w:r w:rsidRPr="006D18D4">
        <w:rPr>
          <w:b/>
        </w:rPr>
        <w:t xml:space="preserve">Рецензент:                                                        </w:t>
      </w:r>
      <w:r w:rsidRPr="006D18D4">
        <w:rPr>
          <w:b/>
          <w:bCs/>
        </w:rPr>
        <w:t>Должность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rPr>
          <w:b/>
        </w:rPr>
        <w:t>Пшеницына Галина Анатольевна</w:t>
      </w:r>
      <w:r w:rsidRPr="006D18D4">
        <w:t xml:space="preserve">     преподаватель ГАОУГПОУ РК «Колледж 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t xml:space="preserve">                           искусств Республики Коми»</w:t>
      </w:r>
    </w:p>
    <w:p w:rsidR="006D18D4" w:rsidRPr="006D18D4" w:rsidRDefault="006D18D4" w:rsidP="006D18D4">
      <w:pPr>
        <w:ind w:left="2760" w:hanging="2760"/>
        <w:jc w:val="both"/>
        <w:rPr>
          <w:b/>
        </w:rPr>
      </w:pPr>
    </w:p>
    <w:p w:rsidR="006D18D4" w:rsidRPr="006D18D4" w:rsidRDefault="006D18D4" w:rsidP="006D18D4">
      <w:pPr>
        <w:pStyle w:val="2"/>
        <w:ind w:firstLine="567"/>
        <w:rPr>
          <w:color w:val="auto"/>
          <w:sz w:val="24"/>
          <w:szCs w:val="24"/>
        </w:rPr>
      </w:pPr>
    </w:p>
    <w:p w:rsidR="006D18D4" w:rsidRPr="006D18D4" w:rsidRDefault="006D18D4" w:rsidP="006D18D4">
      <w:pPr>
        <w:jc w:val="both"/>
        <w:rPr>
          <w:bCs/>
        </w:rPr>
      </w:pPr>
    </w:p>
    <w:tbl>
      <w:tblPr>
        <w:tblW w:w="11820" w:type="dxa"/>
        <w:tblLayout w:type="fixed"/>
        <w:tblLook w:val="04A0"/>
      </w:tblPr>
      <w:tblGrid>
        <w:gridCol w:w="11820"/>
      </w:tblGrid>
      <w:tr w:rsidR="00EC4DD5" w:rsidTr="00EC4DD5">
        <w:trPr>
          <w:trHeight w:val="156"/>
        </w:trPr>
        <w:tc>
          <w:tcPr>
            <w:tcW w:w="10019" w:type="dxa"/>
            <w:hideMark/>
          </w:tcPr>
          <w:p w:rsidR="00EC4DD5" w:rsidRPr="00EC4DD5" w:rsidRDefault="00EC4DD5">
            <w:pPr>
              <w:pStyle w:val="1"/>
              <w:ind w:right="2019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EC4DD5">
              <w:rPr>
                <w:rFonts w:eastAsiaTheme="minorEastAsia"/>
                <w:sz w:val="24"/>
                <w:szCs w:val="24"/>
              </w:rPr>
              <w:t>Согласовано с  Педагогическим советом ГПОУ РК «Колледж культуры»</w:t>
            </w:r>
          </w:p>
        </w:tc>
      </w:tr>
      <w:tr w:rsidR="00EC4DD5" w:rsidTr="00EC4DD5">
        <w:trPr>
          <w:trHeight w:val="458"/>
        </w:trPr>
        <w:tc>
          <w:tcPr>
            <w:tcW w:w="10019" w:type="dxa"/>
          </w:tcPr>
          <w:p w:rsidR="00EC4DD5" w:rsidRPr="00EC4DD5" w:rsidRDefault="00EC4DD5">
            <w:pPr>
              <w:ind w:right="2019"/>
            </w:pPr>
            <w:r w:rsidRPr="00EC4DD5">
              <w:t>Протокол № 1 от «06» сентября 2019 г.</w:t>
            </w:r>
          </w:p>
          <w:p w:rsidR="00EC4DD5" w:rsidRPr="00EC4DD5" w:rsidRDefault="00EC4DD5">
            <w:pPr>
              <w:ind w:right="2019"/>
            </w:pPr>
          </w:p>
        </w:tc>
      </w:tr>
      <w:tr w:rsidR="00EC4DD5" w:rsidTr="00EC4DD5">
        <w:trPr>
          <w:trHeight w:val="156"/>
        </w:trPr>
        <w:tc>
          <w:tcPr>
            <w:tcW w:w="10019" w:type="dxa"/>
          </w:tcPr>
          <w:p w:rsidR="00EC4DD5" w:rsidRDefault="00EC4DD5">
            <w:pPr>
              <w:ind w:right="2019"/>
              <w:jc w:val="right"/>
            </w:pPr>
            <w:r>
              <w:t>Утверждено</w:t>
            </w:r>
          </w:p>
          <w:p w:rsidR="00EC4DD5" w:rsidRDefault="00EC4DD5">
            <w:pPr>
              <w:ind w:right="2019"/>
              <w:jc w:val="right"/>
            </w:pPr>
            <w:r>
              <w:t>Приказом директора</w:t>
            </w:r>
          </w:p>
          <w:p w:rsidR="00EC4DD5" w:rsidRDefault="00EC4DD5">
            <w:pPr>
              <w:ind w:right="2019"/>
              <w:jc w:val="right"/>
            </w:pPr>
            <w:r>
              <w:t>ГПОУ РК «Колледж культуры»</w:t>
            </w:r>
          </w:p>
          <w:p w:rsidR="00EC4DD5" w:rsidRDefault="00EC4DD5">
            <w:pPr>
              <w:ind w:right="2019"/>
              <w:jc w:val="right"/>
            </w:pPr>
            <w:r>
              <w:t xml:space="preserve">от 06.09.2019 № </w:t>
            </w:r>
            <w:proofErr w:type="gramStart"/>
            <w:r>
              <w:t>102</w:t>
            </w:r>
            <w:proofErr w:type="gramEnd"/>
            <w:r>
              <w:t xml:space="preserve"> а/од</w:t>
            </w:r>
          </w:p>
          <w:p w:rsidR="00EC4DD5" w:rsidRDefault="00EC4DD5">
            <w:pPr>
              <w:ind w:right="2019"/>
              <w:jc w:val="center"/>
              <w:rPr>
                <w:sz w:val="28"/>
                <w:szCs w:val="28"/>
              </w:rPr>
            </w:pPr>
          </w:p>
        </w:tc>
      </w:tr>
    </w:tbl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</w:t>
      </w:r>
      <w:r w:rsidR="00EC4DD5">
        <w:rPr>
          <w:b/>
        </w:rPr>
        <w:t>9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6D18D4" w:rsidRPr="006D18D4" w:rsidRDefault="006D18D4" w:rsidP="00EC4DD5">
      <w:pPr>
        <w:ind w:left="2880" w:hanging="3120"/>
        <w:jc w:val="right"/>
      </w:pPr>
      <w:r w:rsidRPr="006D18D4">
        <w:sym w:font="Symbol" w:char="00D3"/>
      </w:r>
      <w:r w:rsidRPr="006D18D4">
        <w:t xml:space="preserve">  В</w:t>
      </w:r>
      <w:r w:rsidR="00EC4DD5">
        <w:t>авилина, М.Н., составление, 2019</w:t>
      </w:r>
      <w:r w:rsidRPr="006D18D4">
        <w:t xml:space="preserve">                                           </w:t>
      </w:r>
    </w:p>
    <w:p w:rsidR="006D18D4" w:rsidRPr="006D18D4" w:rsidRDefault="006D18D4" w:rsidP="00EC4DD5">
      <w:pPr>
        <w:ind w:left="2880" w:hanging="3120"/>
        <w:jc w:val="right"/>
      </w:pPr>
      <w:r w:rsidRPr="006D18D4">
        <w:sym w:font="Symbol" w:char="00D3"/>
      </w:r>
      <w:r w:rsidRPr="006D18D4">
        <w:t xml:space="preserve"> ГПОУ РК «Колледж культуры»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t>СОДЕРЖАНИЕ</w:t>
      </w:r>
    </w:p>
    <w:p w:rsidR="006D18D4" w:rsidRPr="006D18D4" w:rsidRDefault="006D18D4" w:rsidP="006D18D4"/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797E80" w:rsidRDefault="00797E80" w:rsidP="00797E80">
      <w:pPr>
        <w:pStyle w:val="Default"/>
        <w:numPr>
          <w:ilvl w:val="0"/>
          <w:numId w:val="1"/>
        </w:numPr>
        <w:tabs>
          <w:tab w:val="clear" w:pos="644"/>
          <w:tab w:val="num" w:pos="284"/>
        </w:tabs>
        <w:ind w:left="284" w:firstLine="0"/>
        <w:jc w:val="both"/>
        <w:rPr>
          <w:b/>
          <w:caps/>
        </w:rPr>
      </w:pPr>
      <w:r w:rsidRPr="00797E80">
        <w:rPr>
          <w:b/>
          <w:caps/>
          <w:color w:val="auto"/>
        </w:rPr>
        <w:t>СТРУКТУРА и содержание</w:t>
      </w:r>
      <w:r w:rsidR="006D18D4" w:rsidRPr="00797E80">
        <w:rPr>
          <w:b/>
          <w:caps/>
        </w:rPr>
        <w:t xml:space="preserve">УЧЕБНОЙ ДИСЦИПЛИНЫ                                                              </w:t>
      </w:r>
    </w:p>
    <w:p w:rsidR="006D18D4" w:rsidRPr="006D18D4" w:rsidRDefault="006D18D4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797E80" w:rsidRDefault="00797E80" w:rsidP="00797E80">
      <w:pPr>
        <w:pStyle w:val="1"/>
        <w:numPr>
          <w:ilvl w:val="0"/>
          <w:numId w:val="1"/>
        </w:numPr>
        <w:tabs>
          <w:tab w:val="clear" w:pos="644"/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797E80">
        <w:rPr>
          <w:b/>
          <w:caps/>
          <w:sz w:val="24"/>
          <w:szCs w:val="24"/>
        </w:rPr>
        <w:t>Контроль и оценка результатов</w:t>
      </w:r>
      <w:r w:rsidR="006D18D4" w:rsidRPr="00797E80">
        <w:rPr>
          <w:b/>
          <w:caps/>
          <w:sz w:val="24"/>
          <w:szCs w:val="24"/>
        </w:rPr>
        <w:t xml:space="preserve">Освоения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18D4" w:rsidRPr="006D18D4" w:rsidRDefault="006D18D4" w:rsidP="006D18D4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6D18D4">
        <w:rPr>
          <w:bCs/>
        </w:rPr>
        <w:t>51.02.0</w:t>
      </w:r>
      <w:r w:rsidR="00C53E3D">
        <w:rPr>
          <w:bCs/>
        </w:rPr>
        <w:t>2</w:t>
      </w:r>
      <w:r w:rsidRPr="006D18D4">
        <w:rPr>
          <w:bCs/>
        </w:rPr>
        <w:t xml:space="preserve"> «</w:t>
      </w:r>
      <w:r w:rsidR="00C53E3D" w:rsidRPr="00C53E3D">
        <w:t>Социально-культурная деятельность</w:t>
      </w:r>
      <w:r w:rsidRPr="006D18D4">
        <w:rPr>
          <w:bCs/>
        </w:rPr>
        <w:t>».</w:t>
      </w:r>
    </w:p>
    <w:p w:rsidR="006D18D4" w:rsidRPr="006D18D4" w:rsidRDefault="006D18D4" w:rsidP="006D18D4">
      <w:pPr>
        <w:ind w:firstLine="709"/>
        <w:jc w:val="both"/>
      </w:pPr>
    </w:p>
    <w:p w:rsidR="00954C14" w:rsidRDefault="00EC35B6" w:rsidP="00954C14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proofErr w:type="spellStart"/>
      <w:r w:rsidRPr="006D18D4">
        <w:t>письмоДепартамента</w:t>
      </w:r>
      <w:proofErr w:type="spellEnd"/>
      <w:r w:rsidRPr="006D18D4">
        <w:t xml:space="preserve">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954C14" w:rsidRDefault="00954C14" w:rsidP="00954C14">
      <w:pPr>
        <w:ind w:firstLine="709"/>
        <w:jc w:val="both"/>
      </w:pPr>
    </w:p>
    <w:p w:rsidR="00954C14" w:rsidRDefault="00954C14" w:rsidP="00954C14">
      <w:pPr>
        <w:ind w:firstLine="709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954C14" w:rsidRDefault="00954C14" w:rsidP="00954C14">
      <w:pPr>
        <w:ind w:firstLine="709"/>
        <w:jc w:val="both"/>
      </w:pPr>
      <w:r>
        <w:t xml:space="preserve">Данная учебная дисциплина является составным элементом федерального государственного образовательного стандарта среднего общего образования (общеобразовательные учебные дисциплины) – ОУД.05 обязательной части циклов ППССЗ </w:t>
      </w:r>
    </w:p>
    <w:p w:rsidR="00954C14" w:rsidRDefault="00954C14" w:rsidP="00954C14">
      <w:pPr>
        <w:ind w:firstLine="709"/>
        <w:jc w:val="both"/>
        <w:rPr>
          <w:b/>
        </w:rPr>
      </w:pPr>
    </w:p>
    <w:p w:rsidR="00954C14" w:rsidRDefault="00954C14" w:rsidP="00954C14">
      <w:pPr>
        <w:widowControl w:val="0"/>
        <w:autoSpaceDE w:val="0"/>
        <w:adjustRightInd w:val="0"/>
        <w:jc w:val="both"/>
      </w:pPr>
    </w:p>
    <w:p w:rsidR="00954C14" w:rsidRDefault="00954C14" w:rsidP="0095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собственному здоровью, потребности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занятиях физкультурно-оздоровительной и спортивно-оздоровительной деятельностью;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54C14" w:rsidRDefault="00954C14" w:rsidP="00954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54C14" w:rsidRDefault="00954C14" w:rsidP="006D18D4">
      <w:pPr>
        <w:ind w:left="708"/>
        <w:jc w:val="center"/>
        <w:rPr>
          <w:b/>
        </w:rPr>
      </w:pPr>
    </w:p>
    <w:p w:rsidR="00954C14" w:rsidRDefault="00954C14" w:rsidP="006D18D4">
      <w:pPr>
        <w:ind w:left="708"/>
        <w:jc w:val="center"/>
        <w:rPr>
          <w:b/>
        </w:rPr>
      </w:pPr>
    </w:p>
    <w:p w:rsidR="006D18D4" w:rsidRPr="006D18D4" w:rsidRDefault="006D18D4" w:rsidP="006D18D4">
      <w:pPr>
        <w:ind w:left="708"/>
        <w:jc w:val="center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</w:t>
      </w:r>
      <w:r w:rsidR="00B246FF">
        <w:rPr>
          <w:b/>
        </w:rPr>
        <w:t>Социально-культурная деятельность</w:t>
      </w:r>
      <w:r w:rsidRPr="006D18D4">
        <w:rPr>
          <w:b/>
        </w:rPr>
        <w:t>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 xml:space="preserve">Из них Федеральный </w:t>
      </w:r>
      <w:r w:rsidR="00B246FF">
        <w:t>государственный образовательный стандарт</w:t>
      </w:r>
      <w:r w:rsidRPr="006D18D4">
        <w:t xml:space="preserve">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175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117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58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</w:t>
      </w:r>
      <w:r w:rsidR="001E633A">
        <w:rPr>
          <w:b/>
          <w:caps/>
          <w:color w:val="auto"/>
        </w:rPr>
        <w:t>Общеобразовательной дисциплины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ОУД.05 «Физическая культура» на базовом уровне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простейшие приемы самомассажа и релаксации;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E633A" w:rsidRDefault="001E633A" w:rsidP="001E6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35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proofErr w:type="spellStart"/>
        <w:r w:rsidRPr="00EC35B6">
          <w:rPr>
            <w:rStyle w:val="a3"/>
            <w:sz w:val="24"/>
            <w:szCs w:val="24"/>
          </w:rPr>
          <w:t>Приказом</w:t>
        </w:r>
      </w:hyperlink>
      <w:r w:rsidRPr="00EC35B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C35B6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способы контроля и оценки физического развития и физической подготовленности;</w:t>
      </w:r>
    </w:p>
    <w:p w:rsidR="001E633A" w:rsidRDefault="001E633A" w:rsidP="001E6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6D18D4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97E80" w:rsidRDefault="00797E80">
            <w:pPr>
              <w:jc w:val="center"/>
              <w:rPr>
                <w:iCs/>
              </w:rPr>
            </w:pPr>
            <w:r w:rsidRPr="00797E80">
              <w:rPr>
                <w:iCs/>
              </w:rPr>
              <w:t>12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797E80" w:rsidRDefault="00797E80">
            <w:pPr>
              <w:jc w:val="center"/>
              <w:rPr>
                <w:iCs/>
              </w:rPr>
            </w:pPr>
            <w:r w:rsidRPr="00797E80">
              <w:rPr>
                <w:iCs/>
              </w:rPr>
              <w:t>99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  <w:rPr>
                <w:b/>
              </w:rPr>
            </w:pPr>
            <w:r w:rsidRPr="006D18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CE50AB" w:rsidRDefault="00FA7174">
            <w:pPr>
              <w:jc w:val="both"/>
              <w:rPr>
                <w:i/>
              </w:rPr>
            </w:pPr>
            <w:r w:rsidRPr="00CE50AB">
              <w:rPr>
                <w:i/>
              </w:rPr>
              <w:t xml:space="preserve">Промежуточная аттестация </w:t>
            </w:r>
            <w:r>
              <w:rPr>
                <w:i/>
              </w:rPr>
              <w:t>–</w:t>
            </w:r>
            <w:r w:rsidRPr="00CE50AB">
              <w:rPr>
                <w:i/>
              </w:rPr>
              <w:t xml:space="preserve"> </w:t>
            </w:r>
            <w:r>
              <w:rPr>
                <w:i/>
              </w:rPr>
              <w:t xml:space="preserve">зачет (1 семестр), </w:t>
            </w:r>
            <w:r w:rsidRPr="00CE50AB">
              <w:rPr>
                <w:i/>
              </w:rPr>
              <w:t>дифференцированный зачет</w:t>
            </w:r>
            <w:r>
              <w:rPr>
                <w:i/>
              </w:rPr>
              <w:t xml:space="preserve"> (2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CE50AB" w:rsidRDefault="00CE50AB">
            <w:pPr>
              <w:jc w:val="center"/>
              <w:rPr>
                <w:iCs/>
              </w:rPr>
            </w:pPr>
            <w:r w:rsidRPr="00CE50AB">
              <w:rPr>
                <w:iCs/>
              </w:rPr>
              <w:t>6</w:t>
            </w:r>
          </w:p>
          <w:p w:rsidR="006D18D4" w:rsidRPr="00CE50AB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 w:rsidP="00CE50AB">
            <w:pPr>
              <w:rPr>
                <w:i/>
                <w:iCs/>
              </w:rPr>
            </w:pPr>
            <w:r w:rsidRPr="006D18D4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CE50AB">
              <w:rPr>
                <w:i/>
                <w:iCs/>
              </w:rPr>
              <w:t>175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797E80" w:rsidRPr="006D18D4" w:rsidTr="005E7605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80" w:rsidRPr="00797E80" w:rsidRDefault="00797E80" w:rsidP="00797E80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EC35B6">
        <w:trPr>
          <w:trHeight w:val="586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 xml:space="preserve">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6D18D4" w:rsidRDefault="006D18D4">
            <w:r w:rsidRPr="006D18D4">
              <w:t>Профилактика профессиональных заболеваний средствами и методами физического воспитания.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EC35B6" w:rsidRPr="006D18D4" w:rsidRDefault="00EC35B6" w:rsidP="00EC35B6">
            <w:r w:rsidRPr="006D18D4">
              <w:rPr>
                <w:b/>
              </w:rPr>
              <w:t xml:space="preserve">Самостоятельная работа: </w:t>
            </w:r>
          </w:p>
          <w:p w:rsidR="006D18D4" w:rsidRPr="006D18D4" w:rsidRDefault="00EC35B6" w:rsidP="00EC35B6">
            <w:r w:rsidRPr="006D18D4">
              <w:t xml:space="preserve">Подготовка </w:t>
            </w:r>
            <w:r>
              <w:t xml:space="preserve">реферата </w:t>
            </w:r>
            <w:r w:rsidRPr="006D18D4">
              <w:t>на тему «</w:t>
            </w:r>
            <w:r>
              <w:t>Основы здорового образа жизни. Что это?</w:t>
            </w:r>
            <w:r w:rsidRPr="006D18D4">
              <w:t>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EC35B6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EC35B6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CC3B42" w:rsidRDefault="006D18D4" w:rsidP="00CC3B42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</w:t>
            </w:r>
            <w:r w:rsidR="00CC3B42">
              <w:t>олу.</w:t>
            </w:r>
          </w:p>
          <w:p w:rsidR="006D18D4" w:rsidRPr="006D18D4" w:rsidRDefault="006D18D4" w:rsidP="00CC3B42">
            <w:r w:rsidRPr="00CC3B42">
              <w:rPr>
                <w:b/>
              </w:rPr>
              <w:t>По медицинским показаниям</w:t>
            </w:r>
            <w:r w:rsidRPr="00CC3B42">
              <w:t>:</w:t>
            </w:r>
            <w:r w:rsidRPr="006D18D4">
              <w:t xml:space="preserve"> подготовка сообщения «Одна из современных систем физического воспитания»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</w:t>
            </w:r>
            <w:r w:rsidRPr="006D18D4">
              <w:lastRenderedPageBreak/>
              <w:t>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м. 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396CC7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3.2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3.3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3.4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Практическое занятие: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Тема 3.5.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(по выбору)»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4.2. Баскетбол. Совершенствование изученной техники. Прием-передача мяча во встречной эстафете. Техника штрафного броска. Выбивание (вырывание) мяча.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Раздел 5.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5.1. Футбол. Техника безопасности при </w:t>
            </w:r>
            <w:proofErr w:type="spellStart"/>
            <w:r w:rsidRPr="006D18D4">
              <w:t>игре</w:t>
            </w:r>
            <w:proofErr w:type="gramStart"/>
            <w:r w:rsidRPr="006D18D4">
              <w:t>.П</w:t>
            </w:r>
            <w:proofErr w:type="gramEnd"/>
            <w:r w:rsidRPr="006D18D4">
              <w:t>равила</w:t>
            </w:r>
            <w:proofErr w:type="spellEnd"/>
            <w:r w:rsidRPr="006D18D4">
              <w:t xml:space="preserve"> игры, технические приемы и командно-тактические действия в футболе. Исходное положени</w:t>
            </w:r>
            <w:proofErr w:type="gramStart"/>
            <w:r w:rsidRPr="006D18D4">
              <w:t>е(</w:t>
            </w:r>
            <w:proofErr w:type="gramEnd"/>
            <w:r w:rsidRPr="006D18D4">
              <w:t>стойки), перемещения.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5.2. Футбол. Совершенствование технических приемов, стоек. Ведение мяча и остановки.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highlight w:val="yellow"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5.3. Футбол. Совершенствование ведения мыча. Выполнение упражнений с ударами по катающемуся  и летящему мячу.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FA7174">
            <w:r>
              <w:rPr>
                <w:b/>
              </w:rPr>
              <w:t>З</w:t>
            </w:r>
            <w:r w:rsidR="006D18D4" w:rsidRPr="006D18D4">
              <w:rPr>
                <w:b/>
              </w:rPr>
              <w:t>ачет</w:t>
            </w:r>
            <w:r w:rsidR="006D18D4" w:rsidRPr="006D18D4">
              <w:t>. 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33598B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CE50AB" w:rsidP="00CE50A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CE50AB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CE50AB" w:rsidRDefault="00CE50AB">
            <w:pPr>
              <w:pStyle w:val="2"/>
              <w:spacing w:before="0"/>
              <w:ind w:left="0"/>
              <w:rPr>
                <w:color w:val="auto"/>
                <w:sz w:val="28"/>
                <w:szCs w:val="28"/>
              </w:rPr>
            </w:pPr>
            <w:r w:rsidRPr="00CE50AB">
              <w:rPr>
                <w:sz w:val="28"/>
                <w:szCs w:val="28"/>
              </w:rPr>
              <w:t>2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6.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 Помедицинскимпоказаниям: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6.3. Мини-футбол. </w:t>
            </w:r>
            <w:r w:rsidRPr="006D18D4">
              <w:lastRenderedPageBreak/>
              <w:t>Совершенствование ранее изученных техник. Выполнение упражнений с отбором мяча, обманных движений.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6.4.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7. Лыжная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Лекция:</w:t>
            </w:r>
            <w:r w:rsidRPr="006D18D4">
              <w:t xml:space="preserve">  Тема 7.1.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D18D4" w:rsidRPr="00E40B90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E40B90">
              <w:t>Посещение  секций по волейболу, баскетболу</w:t>
            </w:r>
            <w:r w:rsidR="00E40B90" w:rsidRPr="00E40B90">
              <w:t>.</w:t>
            </w:r>
          </w:p>
          <w:p w:rsidR="006D18D4" w:rsidRPr="006D18D4" w:rsidRDefault="006D18D4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7.2.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</w:p>
          <w:p w:rsidR="006D18D4" w:rsidRDefault="006D18D4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B11F05" w:rsidRPr="006D18D4" w:rsidRDefault="00B11F05" w:rsidP="0094058C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</w:t>
            </w:r>
            <w:r w:rsidR="0094058C">
              <w:t xml:space="preserve">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8.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CE1A38" w:rsidRDefault="006D18D4" w:rsidP="00CE1A38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94058C">
              <w:t>секций по волейболу, баскетболу.</w:t>
            </w:r>
          </w:p>
          <w:p w:rsidR="006D18D4" w:rsidRPr="006D18D4" w:rsidRDefault="006D18D4" w:rsidP="00CE1A38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r w:rsidRPr="006D18D4"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8.2. Волейбол. Совершенствование техники приема и передачи мяча. Техники приема и передачи мяча (над головой, снизу, у стенки, в парах), прямой нижней подачи. Учебная игра.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головой), снизу(над собой)- зачет. Прямая нижняя подача.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8.4. Волейбол. Совершенствование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8.5. Волейбол. Совершенствование нападающего удара.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9. Легкая атлетика. Прыжки, метания.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9.3 Прыжки в высоту с 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3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 Тема 9.5. </w:t>
            </w:r>
          </w:p>
          <w:p w:rsidR="006D18D4" w:rsidRPr="006D18D4" w:rsidRDefault="006D18D4">
            <w:r w:rsidRPr="006D18D4">
              <w:t>Сдача нормативов по прыжкам в длину и высоту с разбега, метанию гранаты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CE1A38" w:rsidRPr="006D18D4" w:rsidRDefault="00CE1A38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rPr>
                <w:bCs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94C8A" w:rsidP="00894C8A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Современное физкультурно-массовое</w:t>
            </w:r>
            <w:r w:rsidR="00FA0E9E">
              <w:t xml:space="preserve"> движение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11: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11.1. Национальные виды спорта. Национальные игры.</w:t>
            </w:r>
          </w:p>
          <w:p w:rsidR="006D18D4" w:rsidRPr="006D18D4" w:rsidRDefault="006D18D4"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подготовка сообщения на тему «Национальные виды спорта Республики Коми» </w:t>
            </w:r>
            <w:r w:rsidRPr="006D18D4">
              <w:lastRenderedPageBreak/>
              <w:t>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 11.2.Приемы защиты и самообороны из атлетических единоборств. Страховка.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FA0E9E">
              <w:t>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 подготовка сообщения на тему: «Виды единоборств и их влияние на развитие физических,</w:t>
            </w:r>
          </w:p>
          <w:p w:rsidR="006D18D4" w:rsidRPr="006D18D4" w:rsidRDefault="006D18D4">
            <w:r w:rsidRPr="006D18D4">
              <w:t>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11.3.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CE50A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66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337A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DF337A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175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117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B246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D18D4">
        <w:rPr>
          <w:sz w:val="24"/>
          <w:szCs w:val="24"/>
        </w:rPr>
        <w:t>обучающимися</w:t>
      </w:r>
      <w:proofErr w:type="gramEnd"/>
      <w:r w:rsidRPr="006D18D4">
        <w:rPr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972"/>
      </w:tblGrid>
      <w:tr w:rsidR="00EC35B6" w:rsidRPr="006D18D4" w:rsidTr="00815A6C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B6" w:rsidRPr="006D18D4" w:rsidRDefault="00EC35B6" w:rsidP="00815A6C">
            <w:pPr>
              <w:jc w:val="center"/>
              <w:rPr>
                <w:b/>
                <w:bCs/>
              </w:rPr>
            </w:pPr>
            <w:r w:rsidRPr="00221E7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C35B6" w:rsidRPr="006D18D4" w:rsidTr="00815A6C">
        <w:trPr>
          <w:trHeight w:val="1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21E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22F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понимать:</w:t>
            </w: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221E7C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1E7C">
              <w:t xml:space="preserve">Защита своего комплекса упражнений </w:t>
            </w:r>
            <w:r w:rsidRPr="00221E7C">
              <w:rPr>
                <w:lang w:eastAsia="en-US"/>
              </w:rPr>
              <w:t xml:space="preserve">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 (по выбору обучающегося) 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EC35B6" w:rsidRPr="006D18D4" w:rsidTr="00815A6C">
        <w:trPr>
          <w:trHeight w:val="4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EC35B6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 xml:space="preserve">выполнять простейшие приемы </w:t>
            </w:r>
            <w:proofErr w:type="spellStart"/>
            <w:r w:rsidRPr="006D18D4">
              <w:rPr>
                <w:rFonts w:ascii="Times New Roman" w:hAnsi="Times New Roman"/>
                <w:sz w:val="24"/>
                <w:szCs w:val="24"/>
              </w:rPr>
              <w:lastRenderedPageBreak/>
              <w:t>самомассажа</w:t>
            </w:r>
            <w:proofErr w:type="spellEnd"/>
            <w:r w:rsidRPr="006D18D4">
              <w:rPr>
                <w:rFonts w:ascii="Times New Roman" w:hAnsi="Times New Roman"/>
                <w:sz w:val="24"/>
                <w:szCs w:val="24"/>
              </w:rPr>
              <w:t xml:space="preserve"> и релаксации</w:t>
            </w:r>
          </w:p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Демонстрация</w:t>
            </w:r>
            <w:r w:rsidRPr="006D18D4">
              <w:t xml:space="preserve"> методики массажа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 xml:space="preserve">и </w:t>
            </w:r>
            <w:proofErr w:type="spellStart"/>
            <w:r w:rsidRPr="006D18D4">
              <w:t>самомассажа</w:t>
            </w:r>
            <w:proofErr w:type="spellEnd"/>
            <w:r w:rsidRPr="006D18D4">
              <w:t xml:space="preserve"> при фи</w:t>
            </w:r>
            <w:r>
              <w:t xml:space="preserve">зическом и умственном </w:t>
            </w:r>
            <w:r>
              <w:lastRenderedPageBreak/>
              <w:t>утомлении на практических и теоретических занятиях.</w:t>
            </w:r>
          </w:p>
        </w:tc>
      </w:tr>
      <w:tr w:rsidR="00EC35B6" w:rsidRPr="006D18D4" w:rsidTr="00815A6C">
        <w:trPr>
          <w:trHeight w:val="94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proofErr w:type="gram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реодолевать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и естественные препятствия с использованием разнообразных способов передвижения;</w:t>
            </w:r>
          </w:p>
          <w:p w:rsidR="00EC35B6" w:rsidRPr="005260B7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Сдача нормативов/п</w:t>
            </w:r>
            <w:r w:rsidRPr="006D18D4">
              <w:t>реодолени</w:t>
            </w:r>
            <w:r>
              <w:t>е</w:t>
            </w:r>
            <w:r w:rsidRPr="006D18D4">
              <w:t xml:space="preserve"> препятствий</w:t>
            </w:r>
            <w:r>
              <w:t xml:space="preserve"> на практических занятиях и при самостоятельной работе по разделам: «Лыжная подготовка», «Кроссовая подготовка»</w:t>
            </w:r>
          </w:p>
        </w:tc>
      </w:tr>
      <w:tr w:rsidR="00EC35B6" w:rsidRPr="006D18D4" w:rsidTr="00815A6C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EC35B6" w:rsidRPr="006D18D4" w:rsidRDefault="00EC35B6" w:rsidP="00815A6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Демонстрация приемов</w:t>
            </w: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EC35B6" w:rsidRPr="006D18D4" w:rsidRDefault="00EC35B6" w:rsidP="00815A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EC35B6" w:rsidRPr="006D18D4" w:rsidTr="00815A6C">
        <w:trPr>
          <w:trHeight w:val="100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</w:t>
            </w:r>
            <w:proofErr w:type="spellEnd"/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творческое сотрудничество в коллективных формах занятий физической культурой;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Слаженная игра в команде</w:t>
            </w:r>
            <w:r>
              <w:t xml:space="preserve"> (волейбол, баскетбол, футбол, мини-футбол)</w:t>
            </w:r>
            <w:r w:rsidRPr="006D18D4">
              <w:t>, демонстрация командного духа.</w:t>
            </w:r>
          </w:p>
        </w:tc>
      </w:tr>
      <w:tr w:rsidR="00EC35B6" w:rsidRPr="006D18D4" w:rsidTr="00815A6C">
        <w:trPr>
          <w:trHeight w:val="46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6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контроля и оценки физического развития и физической подготовленности;</w:t>
            </w:r>
          </w:p>
          <w:p w:rsidR="00EC35B6" w:rsidRPr="006D18D4" w:rsidRDefault="00EC35B6" w:rsidP="00815A6C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планирования системы индивидуальных занятий физическими упражнениями различной направленности.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и применение</w:t>
            </w:r>
            <w:r w:rsidRPr="006D18D4">
              <w:t xml:space="preserve"> упражнений</w:t>
            </w:r>
            <w:r>
              <w:t xml:space="preserve"> на основе результатов теста по определению уровня физического развития</w:t>
            </w:r>
            <w:r w:rsidRPr="006D18D4">
              <w:t xml:space="preserve">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Выполнение комплексов упражнений вводной и производственной гимнастики</w:t>
            </w:r>
          </w:p>
        </w:tc>
      </w:tr>
      <w:tr w:rsidR="00EC35B6" w:rsidRPr="006D18D4" w:rsidTr="00815A6C">
        <w:trPr>
          <w:trHeight w:val="61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Pr="006D18D4" w:rsidRDefault="00EC35B6" w:rsidP="00815A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>понимать:</w:t>
            </w:r>
            <w:r w:rsidRPr="006D18D4">
              <w:t xml:space="preserve"> о роли физической культуры в общекультурном, профессиональном и социальном развитии человека; </w:t>
            </w: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 xml:space="preserve">понимать: </w:t>
            </w:r>
            <w:r w:rsidRPr="006D18D4">
              <w:t>основы здорового образа жизни.</w:t>
            </w:r>
          </w:p>
          <w:p w:rsidR="00EC35B6" w:rsidRPr="006D18D4" w:rsidRDefault="00EC35B6" w:rsidP="00815A6C">
            <w:pPr>
              <w:tabs>
                <w:tab w:val="left" w:pos="26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6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Регулярное участие в спортивно-массовых мероприятиях колледжа, города</w:t>
            </w:r>
          </w:p>
          <w:p w:rsidR="00EC35B6" w:rsidRPr="006D18D4" w:rsidRDefault="00EC35B6" w:rsidP="00815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Реферат</w:t>
            </w:r>
          </w:p>
        </w:tc>
      </w:tr>
    </w:tbl>
    <w:p w:rsidR="00EC35B6" w:rsidRDefault="00EC35B6" w:rsidP="00EC35B6"/>
    <w:p w:rsidR="00EC35B6" w:rsidRDefault="00EC35B6" w:rsidP="00EC35B6"/>
    <w:p w:rsidR="00EC35B6" w:rsidRPr="00EC35B6" w:rsidRDefault="00EC35B6" w:rsidP="00EC35B6"/>
    <w:sectPr w:rsidR="00EC35B6" w:rsidRPr="00EC35B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F5D89"/>
    <w:rsid w:val="00172DC6"/>
    <w:rsid w:val="001E633A"/>
    <w:rsid w:val="002C10B2"/>
    <w:rsid w:val="0033598B"/>
    <w:rsid w:val="0034282B"/>
    <w:rsid w:val="00367261"/>
    <w:rsid w:val="00396CC7"/>
    <w:rsid w:val="00497799"/>
    <w:rsid w:val="00532C3C"/>
    <w:rsid w:val="00540A95"/>
    <w:rsid w:val="005C4603"/>
    <w:rsid w:val="006D18D4"/>
    <w:rsid w:val="006F55F6"/>
    <w:rsid w:val="00797E80"/>
    <w:rsid w:val="00894C8A"/>
    <w:rsid w:val="00897CBD"/>
    <w:rsid w:val="0094058C"/>
    <w:rsid w:val="00954C14"/>
    <w:rsid w:val="00A10387"/>
    <w:rsid w:val="00A26287"/>
    <w:rsid w:val="00AA4EC3"/>
    <w:rsid w:val="00B11F05"/>
    <w:rsid w:val="00B246FF"/>
    <w:rsid w:val="00B33680"/>
    <w:rsid w:val="00C53E3D"/>
    <w:rsid w:val="00CC3B42"/>
    <w:rsid w:val="00CE1A38"/>
    <w:rsid w:val="00CE50AB"/>
    <w:rsid w:val="00D359D5"/>
    <w:rsid w:val="00DD2341"/>
    <w:rsid w:val="00E40B90"/>
    <w:rsid w:val="00EC35B6"/>
    <w:rsid w:val="00EC4DD5"/>
    <w:rsid w:val="00F37FD4"/>
    <w:rsid w:val="00FA0E9E"/>
    <w:rsid w:val="00FA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035FACF0AAEBDF93AAE4742BA446936ABAC1E74C7A11676CD069DEFF7A5D62670D79AEA5D177EhBF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Татьяна</cp:lastModifiedBy>
  <cp:revision>4</cp:revision>
  <dcterms:created xsi:type="dcterms:W3CDTF">2019-06-17T11:58:00Z</dcterms:created>
  <dcterms:modified xsi:type="dcterms:W3CDTF">2019-10-29T12:22:00Z</dcterms:modified>
</cp:coreProperties>
</file>